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B9" w:rsidRDefault="001C0EB9" w:rsidP="001C0EB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E938EA" w:rsidRPr="00E938EA" w:rsidRDefault="00E938EA" w:rsidP="00E938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38EA" w:rsidRPr="00E938EA" w:rsidRDefault="001C0EB9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E938EA" w:rsidRPr="00E938EA">
        <w:rPr>
          <w:rFonts w:ascii="Times New Roman" w:hAnsi="Times New Roman"/>
          <w:sz w:val="24"/>
          <w:szCs w:val="24"/>
        </w:rPr>
        <w:t xml:space="preserve"> г.</w:t>
      </w:r>
      <w:r w:rsidR="00E938EA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 w:rsidR="00915A3D">
        <w:rPr>
          <w:rFonts w:ascii="Times New Roman" w:hAnsi="Times New Roman"/>
          <w:sz w:val="24"/>
          <w:szCs w:val="24"/>
        </w:rPr>
        <w:t xml:space="preserve"> </w:t>
      </w: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</w:tblGrid>
      <w:tr w:rsidR="00E938EA" w:rsidRPr="00E938EA" w:rsidTr="001A68F4">
        <w:trPr>
          <w:trHeight w:val="289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938EA" w:rsidRPr="00E938EA" w:rsidRDefault="00E938EA" w:rsidP="00E938EA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E938EA" w:rsidRPr="00E938EA" w:rsidRDefault="00E938EA" w:rsidP="001A68F4">
            <w:pPr>
              <w:pStyle w:val="ConsPlusCell"/>
              <w:jc w:val="both"/>
            </w:pPr>
            <w:r w:rsidRPr="00E938EA">
              <w:t xml:space="preserve">МКУ администрации </w:t>
            </w:r>
            <w:proofErr w:type="spellStart"/>
            <w:r w:rsidRPr="00E938EA">
              <w:t>Нововасюганского</w:t>
            </w:r>
            <w:proofErr w:type="spellEnd"/>
            <w:r w:rsidRPr="00E938EA">
              <w:t xml:space="preserve"> сельского поселения </w:t>
            </w:r>
            <w:r>
              <w:t>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 xml:space="preserve">Выдача разрешений на ввод в эксплуатацию объектов капитального строительства, расположенных на территории муниципального образования </w:t>
            </w:r>
            <w:proofErr w:type="spellStart"/>
            <w:r w:rsidRPr="00966589">
              <w:t>Нововасюганское</w:t>
            </w:r>
            <w:proofErr w:type="spellEnd"/>
            <w:r w:rsidRPr="00966589">
              <w:t xml:space="preserve"> сельское поселение</w:t>
            </w:r>
            <w:r>
              <w:t>»</w:t>
            </w:r>
          </w:p>
          <w:p w:rsidR="00E938EA" w:rsidRPr="00E938EA" w:rsidRDefault="00E938EA" w:rsidP="00E938EA">
            <w:pPr>
              <w:pStyle w:val="ConsPlusCell"/>
            </w:pPr>
          </w:p>
        </w:tc>
      </w:tr>
    </w:tbl>
    <w:p w:rsidR="00E938EA" w:rsidRPr="00E938EA" w:rsidRDefault="00E938EA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938EA" w:rsidRPr="00E938EA" w:rsidRDefault="00E938EA" w:rsidP="00E93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938EA">
        <w:t xml:space="preserve">1. Внести в постановление Администрации </w:t>
      </w:r>
      <w:proofErr w:type="spellStart"/>
      <w:r w:rsidRPr="00E938EA">
        <w:t>Нововасюга</w:t>
      </w:r>
      <w:r w:rsidR="00841FD4">
        <w:t>нского</w:t>
      </w:r>
      <w:proofErr w:type="spellEnd"/>
      <w:r w:rsidR="00841FD4">
        <w:t xml:space="preserve"> сельского поселения от 28.04.2017 № 35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 xml:space="preserve">» </w:t>
      </w:r>
      <w:r w:rsidRPr="00E938EA">
        <w:rPr>
          <w:rFonts w:eastAsia="Calibri"/>
          <w:bCs/>
          <w:lang w:eastAsia="en-US"/>
        </w:rPr>
        <w:t>следующие изменения:</w:t>
      </w:r>
    </w:p>
    <w:p w:rsidR="00E938EA" w:rsidRPr="00E938EA" w:rsidRDefault="00E938EA" w:rsidP="00E938EA">
      <w:pPr>
        <w:pStyle w:val="ConsPlusCell"/>
        <w:jc w:val="both"/>
        <w:rPr>
          <w:rFonts w:eastAsia="Calibri"/>
          <w:bCs/>
          <w:lang w:eastAsia="en-US"/>
        </w:rPr>
      </w:pPr>
      <w:r w:rsidRPr="00E938EA">
        <w:rPr>
          <w:rFonts w:eastAsia="Calibri"/>
          <w:bCs/>
          <w:lang w:eastAsia="en-US"/>
        </w:rPr>
        <w:t xml:space="preserve">в административном регламенте </w:t>
      </w:r>
      <w:r w:rsidRPr="00E938EA">
        <w:t>«</w:t>
      </w:r>
      <w:r w:rsidR="00841FD4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841FD4" w:rsidRPr="00966589">
        <w:t>Нововасюганское</w:t>
      </w:r>
      <w:proofErr w:type="spellEnd"/>
      <w:r w:rsidR="00841FD4" w:rsidRPr="00966589">
        <w:t xml:space="preserve"> сельское поселение</w:t>
      </w:r>
      <w:r w:rsidRPr="00E938EA">
        <w:t>»</w:t>
      </w:r>
      <w:r w:rsidRPr="00E938EA">
        <w:rPr>
          <w:rFonts w:eastAsia="Calibri"/>
          <w:bCs/>
          <w:lang w:eastAsia="en-US"/>
        </w:rPr>
        <w:t>, утвержденном названным постановлением:</w:t>
      </w:r>
    </w:p>
    <w:p w:rsidR="00841FD4" w:rsidRPr="00841FD4" w:rsidRDefault="00E938EA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1)  </w:t>
      </w:r>
      <w:r w:rsidRPr="00841FD4">
        <w:rPr>
          <w:rFonts w:ascii="Times New Roman" w:hAnsi="Times New Roman"/>
          <w:spacing w:val="-2"/>
          <w:sz w:val="24"/>
          <w:szCs w:val="24"/>
        </w:rPr>
        <w:t xml:space="preserve">п. </w:t>
      </w:r>
      <w:r w:rsidR="001A68F4">
        <w:rPr>
          <w:rFonts w:ascii="Times New Roman" w:hAnsi="Times New Roman"/>
          <w:spacing w:val="-2"/>
          <w:sz w:val="24"/>
          <w:szCs w:val="24"/>
        </w:rPr>
        <w:t>1</w:t>
      </w:r>
      <w:r w:rsidRPr="00841FD4">
        <w:rPr>
          <w:rFonts w:ascii="Times New Roman" w:hAnsi="Times New Roman"/>
          <w:spacing w:val="-2"/>
          <w:sz w:val="24"/>
          <w:szCs w:val="24"/>
        </w:rPr>
        <w:t>.1.</w:t>
      </w:r>
      <w:r w:rsidRPr="00841FD4">
        <w:rPr>
          <w:rFonts w:ascii="Times New Roman" w:hAnsi="Times New Roman"/>
          <w:sz w:val="24"/>
          <w:szCs w:val="24"/>
        </w:rPr>
        <w:t xml:space="preserve"> </w:t>
      </w:r>
      <w:r w:rsidR="001A68F4">
        <w:rPr>
          <w:rFonts w:ascii="Times New Roman" w:hAnsi="Times New Roman"/>
          <w:sz w:val="24"/>
          <w:szCs w:val="24"/>
        </w:rPr>
        <w:t>дополнить абзацем вторым следующего содержания</w:t>
      </w:r>
      <w:r w:rsidR="00841FD4" w:rsidRPr="00841FD4">
        <w:rPr>
          <w:rFonts w:ascii="Times New Roman" w:hAnsi="Times New Roman"/>
          <w:sz w:val="24"/>
          <w:szCs w:val="24"/>
        </w:rPr>
        <w:t>:</w:t>
      </w:r>
    </w:p>
    <w:p w:rsidR="00E938EA" w:rsidRDefault="00841FD4" w:rsidP="00841F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D4">
        <w:rPr>
          <w:rFonts w:ascii="Times New Roman" w:hAnsi="Times New Roman"/>
          <w:sz w:val="24"/>
          <w:szCs w:val="24"/>
        </w:rPr>
        <w:t>«</w:t>
      </w:r>
      <w:r w:rsidR="001A68F4" w:rsidRPr="00802EC9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 w:rsidR="001A68F4">
        <w:rPr>
          <w:rFonts w:ascii="Times New Roman" w:hAnsi="Times New Roman"/>
          <w:sz w:val="24"/>
          <w:szCs w:val="24"/>
        </w:rPr>
        <w:t xml:space="preserve"> не распространяется на объекты, в отношении которых разрешение на ввод в эксплуатацию не требуется</w:t>
      </w:r>
      <w:r w:rsidR="001A68F4" w:rsidRPr="00A9340A">
        <w:rPr>
          <w:rFonts w:ascii="Times New Roman" w:hAnsi="Times New Roman"/>
          <w:sz w:val="24"/>
          <w:szCs w:val="24"/>
        </w:rPr>
        <w:t xml:space="preserve"> </w:t>
      </w:r>
      <w:r w:rsidR="001A68F4">
        <w:rPr>
          <w:rFonts w:ascii="Times New Roman" w:hAnsi="Times New Roman"/>
          <w:sz w:val="24"/>
          <w:szCs w:val="24"/>
        </w:rPr>
        <w:t xml:space="preserve">в соответствии с частью 15 статьи 55 </w:t>
      </w:r>
      <w:r w:rsidR="001A68F4" w:rsidRPr="00802EC9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proofErr w:type="gramStart"/>
      <w:r w:rsidR="001A68F4">
        <w:rPr>
          <w:rFonts w:ascii="Times New Roman" w:hAnsi="Times New Roman"/>
          <w:sz w:val="24"/>
          <w:szCs w:val="24"/>
        </w:rPr>
        <w:t>.</w:t>
      </w:r>
      <w:r w:rsidRPr="00841FD4">
        <w:rPr>
          <w:rFonts w:ascii="Times New Roman" w:hAnsi="Times New Roman"/>
          <w:sz w:val="24"/>
          <w:szCs w:val="24"/>
        </w:rPr>
        <w:t>»</w:t>
      </w:r>
      <w:r w:rsidR="00E938EA" w:rsidRPr="00841FD4">
        <w:rPr>
          <w:rFonts w:ascii="Times New Roman" w:hAnsi="Times New Roman"/>
          <w:sz w:val="24"/>
          <w:szCs w:val="24"/>
        </w:rPr>
        <w:t>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Pr="00E4792F" w:rsidRDefault="001A68F4" w:rsidP="001A68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68F4" w:rsidRPr="00E4792F" w:rsidRDefault="001A68F4" w:rsidP="001A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подпункт 2 </w:t>
      </w:r>
      <w:r w:rsidRPr="00E4792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Pr="00655353">
        <w:rPr>
          <w:rFonts w:ascii="Times New Roman" w:hAnsi="Times New Roman"/>
          <w:sz w:val="24"/>
          <w:szCs w:val="24"/>
        </w:rPr>
        <w:lastRenderedPageBreak/>
        <w:t>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1A68F4" w:rsidRPr="00E4792F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подпункт 3 </w:t>
      </w:r>
      <w:r w:rsidRPr="00E4792F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1A68F4" w:rsidRPr="00966589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A68F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</w:t>
      </w:r>
      <w:r w:rsidRPr="00966589">
        <w:rPr>
          <w:rFonts w:ascii="Times New Roman" w:hAnsi="Times New Roman"/>
          <w:bCs/>
          <w:spacing w:val="-2"/>
          <w:sz w:val="24"/>
          <w:szCs w:val="24"/>
        </w:rPr>
        <w:lastRenderedPageBreak/>
        <w:t>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>
        <w:rPr>
          <w:rFonts w:ascii="Times New Roman" w:hAnsi="Times New Roman"/>
          <w:sz w:val="24"/>
          <w:szCs w:val="24"/>
        </w:rPr>
        <w:t>»;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13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390A" w:rsidRPr="002863F3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390A" w:rsidRPr="00966589" w:rsidRDefault="009C390A" w:rsidP="009C3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C390A" w:rsidRPr="000422BA" w:rsidRDefault="009C390A" w:rsidP="009C3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A68F4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422B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) пункт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3.4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E4792F">
        <w:rPr>
          <w:rFonts w:ascii="Times New Roman" w:hAnsi="Times New Roman"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</w:t>
      </w:r>
      <w:proofErr w:type="gramStart"/>
      <w:r w:rsidRPr="00C35BC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8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lastRenderedPageBreak/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1A68F4" w:rsidRPr="00841FD4" w:rsidRDefault="001A68F4" w:rsidP="001A68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lastRenderedPageBreak/>
        <w:t>2. Настоящее постановление вступает в силу со дня официального обнародования.</w:t>
      </w:r>
    </w:p>
    <w:p w:rsidR="00E938EA" w:rsidRPr="00E938EA" w:rsidRDefault="00E938EA" w:rsidP="00E938E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8EA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9C390A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938EA">
        <w:rPr>
          <w:rFonts w:ascii="Times New Roman" w:hAnsi="Times New Roman"/>
          <w:bCs/>
          <w:sz w:val="24"/>
          <w:szCs w:val="24"/>
        </w:rPr>
        <w:t>Ново</w:t>
      </w:r>
      <w:r w:rsidR="009C390A">
        <w:rPr>
          <w:rFonts w:ascii="Times New Roman" w:hAnsi="Times New Roman"/>
          <w:bCs/>
          <w:sz w:val="24"/>
          <w:szCs w:val="24"/>
        </w:rPr>
        <w:t>васюганское</w:t>
      </w:r>
      <w:proofErr w:type="spellEnd"/>
      <w:r w:rsidR="009C390A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E938EA">
        <w:rPr>
          <w:rFonts w:ascii="Times New Roman" w:hAnsi="Times New Roman"/>
          <w:bCs/>
          <w:sz w:val="24"/>
          <w:szCs w:val="24"/>
        </w:rPr>
        <w:t>.</w:t>
      </w:r>
    </w:p>
    <w:p w:rsidR="00E938EA" w:rsidRPr="00E938EA" w:rsidRDefault="00E938EA" w:rsidP="00E938EA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390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9C390A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E938EA" w:rsidRPr="00E938EA" w:rsidRDefault="00E938EA" w:rsidP="00E938E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938E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938EA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41FD4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A3D" w:rsidRDefault="00915A3D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390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E938EA" w:rsidRDefault="009C390A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938EA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938EA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938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D4" w:rsidRPr="004E7DEC" w:rsidRDefault="00841FD4" w:rsidP="00841FD4">
      <w:pPr>
        <w:jc w:val="center"/>
        <w:rPr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 w:rsidR="00915A3D"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 w:rsidR="00915A3D">
        <w:rPr>
          <w:rFonts w:ascii="Times New Roman" w:hAnsi="Times New Roman"/>
          <w:sz w:val="24"/>
          <w:szCs w:val="24"/>
        </w:rPr>
        <w:t xml:space="preserve"> 54</w:t>
      </w:r>
      <w:r w:rsidR="009C390A">
        <w:rPr>
          <w:rFonts w:ascii="Times New Roman" w:hAnsi="Times New Roman"/>
          <w:sz w:val="24"/>
          <w:szCs w:val="24"/>
        </w:rPr>
        <w:t>, постановления от 2018 №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841FD4" w:rsidRPr="00E938EA" w:rsidRDefault="00841FD4" w:rsidP="00E93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938EA" w:rsidRDefault="00C74202" w:rsidP="00E938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</w:t>
      </w:r>
      <w:r w:rsidR="00820188" w:rsidRPr="00E938EA">
        <w:rPr>
          <w:rFonts w:ascii="Times New Roman" w:hAnsi="Times New Roman"/>
          <w:sz w:val="24"/>
          <w:szCs w:val="24"/>
        </w:rPr>
        <w:t>201</w:t>
      </w:r>
      <w:r w:rsidR="00715533" w:rsidRPr="00E938EA">
        <w:rPr>
          <w:rFonts w:ascii="Times New Roman" w:hAnsi="Times New Roman"/>
          <w:sz w:val="24"/>
          <w:szCs w:val="24"/>
        </w:rPr>
        <w:t>7</w:t>
      </w:r>
      <w:r w:rsidR="00820188" w:rsidRPr="00E938EA">
        <w:rPr>
          <w:rFonts w:ascii="Times New Roman" w:hAnsi="Times New Roman"/>
          <w:sz w:val="24"/>
          <w:szCs w:val="24"/>
        </w:rPr>
        <w:t xml:space="preserve"> г.</w:t>
      </w:r>
      <w:r w:rsidR="00820188"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 w:rsidRPr="00E938EA">
        <w:rPr>
          <w:rFonts w:ascii="Times New Roman" w:hAnsi="Times New Roman"/>
          <w:sz w:val="24"/>
          <w:szCs w:val="24"/>
        </w:rPr>
        <w:t>35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938EA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E938EA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E938EA" w:rsidRDefault="00820188" w:rsidP="00E938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9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938EA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E938EA" w:rsidRDefault="00B53119" w:rsidP="00E938EA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</w:t>
      </w:r>
      <w:r w:rsidR="00820188" w:rsidRPr="00E938EA">
        <w:rPr>
          <w:rFonts w:ascii="Times New Roman" w:hAnsi="Times New Roman"/>
          <w:sz w:val="24"/>
          <w:szCs w:val="24"/>
        </w:rPr>
        <w:t>бразования</w:t>
      </w:r>
      <w:r w:rsidRPr="00E938EA">
        <w:rPr>
          <w:rFonts w:ascii="Times New Roman" w:hAnsi="Times New Roman"/>
          <w:sz w:val="24"/>
          <w:szCs w:val="24"/>
        </w:rPr>
        <w:t xml:space="preserve"> </w:t>
      </w:r>
      <w:r w:rsidR="00820188" w:rsidRPr="00E938EA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E938EA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E938EA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E938EA" w:rsidRDefault="00820188" w:rsidP="00E938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E93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1FD4" w:rsidRPr="00966589" w:rsidRDefault="00841FD4" w:rsidP="00841FD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C74202"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35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A" w:rsidRDefault="00841FD4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 w:rsidR="00915A3D">
        <w:rPr>
          <w:rFonts w:ascii="Times New Roman" w:hAnsi="Times New Roman" w:cs="Times New Roman"/>
          <w:b w:val="0"/>
          <w:sz w:val="24"/>
          <w:szCs w:val="24"/>
        </w:rPr>
        <w:t xml:space="preserve"> 54</w:t>
      </w:r>
      <w:r w:rsidR="009C390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841FD4" w:rsidRPr="00960B3B" w:rsidRDefault="009C390A" w:rsidP="00841F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Постановления от 2018 №</w:t>
      </w:r>
      <w:r w:rsidR="00841FD4" w:rsidRPr="00960B3B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1A68F4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68F4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1A68F4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1A68F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1A68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1A68F4">
        <w:rPr>
          <w:rFonts w:ascii="Times New Roman" w:hAnsi="Times New Roman"/>
          <w:sz w:val="24"/>
          <w:szCs w:val="24"/>
        </w:rPr>
        <w:t>»</w:t>
      </w:r>
      <w:r w:rsidRPr="001A68F4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1A68F4">
        <w:rPr>
          <w:rFonts w:ascii="Times New Roman" w:hAnsi="Times New Roman"/>
          <w:sz w:val="24"/>
          <w:szCs w:val="24"/>
        </w:rPr>
        <w:t>а</w:t>
      </w:r>
      <w:r w:rsidRPr="001A68F4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1A68F4">
        <w:rPr>
          <w:rFonts w:ascii="Times New Roman" w:hAnsi="Times New Roman"/>
          <w:sz w:val="24"/>
          <w:szCs w:val="24"/>
        </w:rPr>
        <w:t xml:space="preserve"> 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1A68F4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1A68F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1A68F4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1A68F4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1A68F4" w:rsidRPr="001A68F4" w:rsidRDefault="001A68F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ул. Сове</w:t>
      </w:r>
      <w:r w:rsidR="00841FD4">
        <w:rPr>
          <w:rFonts w:ascii="Times New Roman" w:hAnsi="Times New Roman"/>
          <w:sz w:val="24"/>
          <w:szCs w:val="24"/>
        </w:rPr>
        <w:t>т</w:t>
      </w:r>
      <w:r w:rsidR="0024557D" w:rsidRPr="00966589">
        <w:rPr>
          <w:rFonts w:ascii="Times New Roman" w:hAnsi="Times New Roman"/>
          <w:sz w:val="24"/>
          <w:szCs w:val="24"/>
        </w:rPr>
        <w:t>ская,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966589">
        <w:rPr>
          <w:rFonts w:ascii="Times New Roman" w:hAnsi="Times New Roman"/>
          <w:sz w:val="24"/>
          <w:szCs w:val="24"/>
        </w:rPr>
        <w:lastRenderedPageBreak/>
        <w:t>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1A68F4" w:rsidRPr="00E4792F" w:rsidRDefault="001A68F4" w:rsidP="001A68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1A68F4" w:rsidRPr="00E4792F" w:rsidRDefault="001A68F4" w:rsidP="001A6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8F4" w:rsidRPr="00E4792F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1A68F4" w:rsidRDefault="001A68F4" w:rsidP="001A68F4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</w:t>
      </w:r>
      <w:r w:rsidRPr="00E4792F">
        <w:rPr>
          <w:rFonts w:ascii="Times New Roman" w:hAnsi="Times New Roman"/>
          <w:sz w:val="24"/>
          <w:szCs w:val="24"/>
        </w:rPr>
        <w:lastRenderedPageBreak/>
        <w:t>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="008401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C2874" w:rsidRPr="00966589" w:rsidRDefault="009C2874" w:rsidP="009C28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), сведения о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5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1A68F4" w:rsidRPr="00655353" w:rsidRDefault="009C287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68F4"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</w:t>
      </w:r>
      <w:r w:rsidRPr="00655353">
        <w:rPr>
          <w:rFonts w:ascii="Times New Roman" w:hAnsi="Times New Roman"/>
          <w:sz w:val="24"/>
          <w:szCs w:val="24"/>
        </w:rPr>
        <w:lastRenderedPageBreak/>
        <w:t>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68F4" w:rsidRPr="00655353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9C2874" w:rsidRPr="002863F3" w:rsidRDefault="009C2874" w:rsidP="001A68F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="001A68F4"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1A68F4"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="001A68F4"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="001A68F4"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="001A68F4"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A68F4" w:rsidRPr="0012454F">
        <w:rPr>
          <w:rFonts w:ascii="Times New Roman" w:hAnsi="Times New Roman"/>
          <w:bCs/>
          <w:sz w:val="24"/>
          <w:szCs w:val="24"/>
        </w:rPr>
        <w:t>специалист</w:t>
      </w:r>
      <w:r w:rsidR="001A68F4">
        <w:rPr>
          <w:rFonts w:ascii="Times New Roman" w:hAnsi="Times New Roman"/>
          <w:bCs/>
          <w:sz w:val="24"/>
          <w:szCs w:val="24"/>
        </w:rPr>
        <w:t>ом</w:t>
      </w:r>
      <w:r w:rsidR="001A68F4" w:rsidRPr="0012454F">
        <w:rPr>
          <w:rFonts w:ascii="Times New Roman" w:hAnsi="Times New Roman"/>
          <w:bCs/>
          <w:sz w:val="24"/>
          <w:szCs w:val="24"/>
        </w:rPr>
        <w:t>, ответственны</w:t>
      </w:r>
      <w:r w:rsidR="001A68F4">
        <w:rPr>
          <w:rFonts w:ascii="Times New Roman" w:hAnsi="Times New Roman"/>
          <w:bCs/>
          <w:sz w:val="24"/>
          <w:szCs w:val="24"/>
        </w:rPr>
        <w:t>м</w:t>
      </w:r>
      <w:r w:rsidR="001A68F4"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="001A68F4" w:rsidRPr="00434446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C2874" w:rsidRPr="002863F3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C390A">
        <w:rPr>
          <w:rFonts w:ascii="Times New Roman" w:hAnsi="Times New Roman"/>
          <w:sz w:val="24"/>
          <w:szCs w:val="24"/>
        </w:rPr>
        <w:t xml:space="preserve">2) </w:t>
      </w:r>
      <w:r w:rsidR="001A68F4"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="001A68F4"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1A68F4"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A68F4" w:rsidRPr="000422BA" w:rsidRDefault="001A68F4" w:rsidP="001A6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C2874" w:rsidRPr="002863F3" w:rsidRDefault="001A68F4" w:rsidP="001A6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Помещения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27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2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41FD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</w:t>
      </w:r>
      <w:r w:rsidRPr="00966589">
        <w:rPr>
          <w:rFonts w:ascii="Times New Roman" w:hAnsi="Times New Roman"/>
          <w:sz w:val="24"/>
          <w:szCs w:val="24"/>
        </w:rPr>
        <w:lastRenderedPageBreak/>
        <w:t>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2863F3" w:rsidRDefault="009C2874" w:rsidP="009C39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="009C390A" w:rsidRPr="009C390A">
        <w:rPr>
          <w:rFonts w:ascii="Times New Roman" w:hAnsi="Times New Roman"/>
          <w:bCs/>
          <w:sz w:val="24"/>
          <w:szCs w:val="24"/>
        </w:rPr>
        <w:t>Для</w:t>
      </w:r>
      <w:r w:rsidR="009C390A"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="009C390A"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="009C390A"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7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9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390A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C390A" w:rsidRDefault="009C390A" w:rsidP="009C390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9C390A" w:rsidRPr="00E4792F" w:rsidRDefault="009C390A" w:rsidP="009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90A" w:rsidRPr="00E4792F" w:rsidRDefault="009C390A" w:rsidP="009C39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9C390A" w:rsidP="009C39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hyperlink r:id="rId4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46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5A1E4C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48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05E05"/>
    <w:rsid w:val="001123EF"/>
    <w:rsid w:val="00116098"/>
    <w:rsid w:val="001330D9"/>
    <w:rsid w:val="00144C3A"/>
    <w:rsid w:val="001A68F4"/>
    <w:rsid w:val="001B3722"/>
    <w:rsid w:val="001C0EB9"/>
    <w:rsid w:val="001E4964"/>
    <w:rsid w:val="002118AB"/>
    <w:rsid w:val="00235EC9"/>
    <w:rsid w:val="0024557D"/>
    <w:rsid w:val="002661EE"/>
    <w:rsid w:val="0028210C"/>
    <w:rsid w:val="00283DEE"/>
    <w:rsid w:val="002863F3"/>
    <w:rsid w:val="002F3A1A"/>
    <w:rsid w:val="0031528D"/>
    <w:rsid w:val="0032377D"/>
    <w:rsid w:val="00346E48"/>
    <w:rsid w:val="00387BB4"/>
    <w:rsid w:val="004351F8"/>
    <w:rsid w:val="00476316"/>
    <w:rsid w:val="004B724E"/>
    <w:rsid w:val="004D2A65"/>
    <w:rsid w:val="004F2EB4"/>
    <w:rsid w:val="00505004"/>
    <w:rsid w:val="00531B5B"/>
    <w:rsid w:val="00543E33"/>
    <w:rsid w:val="005A1E4C"/>
    <w:rsid w:val="005A62EE"/>
    <w:rsid w:val="005F5122"/>
    <w:rsid w:val="006158C4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F489C"/>
    <w:rsid w:val="00820188"/>
    <w:rsid w:val="00822422"/>
    <w:rsid w:val="00840112"/>
    <w:rsid w:val="00841FD4"/>
    <w:rsid w:val="00857FAD"/>
    <w:rsid w:val="008C4EA9"/>
    <w:rsid w:val="008D7DCB"/>
    <w:rsid w:val="00915A3D"/>
    <w:rsid w:val="00936AF6"/>
    <w:rsid w:val="00966589"/>
    <w:rsid w:val="009C2874"/>
    <w:rsid w:val="009C2C9C"/>
    <w:rsid w:val="009C390A"/>
    <w:rsid w:val="009F7FA4"/>
    <w:rsid w:val="00A215B8"/>
    <w:rsid w:val="00A26A02"/>
    <w:rsid w:val="00A465C5"/>
    <w:rsid w:val="00A82FFC"/>
    <w:rsid w:val="00AB5A0C"/>
    <w:rsid w:val="00B53119"/>
    <w:rsid w:val="00B66151"/>
    <w:rsid w:val="00C472EE"/>
    <w:rsid w:val="00C74202"/>
    <w:rsid w:val="00CE5022"/>
    <w:rsid w:val="00D47A0E"/>
    <w:rsid w:val="00DA136E"/>
    <w:rsid w:val="00DD02F6"/>
    <w:rsid w:val="00DD67AF"/>
    <w:rsid w:val="00DF7388"/>
    <w:rsid w:val="00E249FC"/>
    <w:rsid w:val="00E50BB5"/>
    <w:rsid w:val="00E87355"/>
    <w:rsid w:val="00E938EA"/>
    <w:rsid w:val="00EB1759"/>
    <w:rsid w:val="00EE03C3"/>
    <w:rsid w:val="00F0747F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9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image" Target="media/image1.jpeg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novvas.tomsk.ru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D5E31DD23C136F3F8E5A9926EE9A749E22A686F449A141B0EF1B5BCF91J4v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novvas.tomsk.ru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4DA3E4C47E26AA60CE777B909FC82EC15686199123B3B9EC8A057D3B417CAADE2162D11829179042ZEiC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novvas.tomsk.ru" TargetMode="External"/><Relationship Id="rId30" Type="http://schemas.openxmlformats.org/officeDocument/2006/relationships/hyperlink" Target="consultantplus://offline/ref=4DA3E4C47E26AA60CE777B909FC82EC15686199123B3B9EC8A057D3B417CAADE2162D11B2DZ1i3G" TargetMode="External"/><Relationship Id="rId35" Type="http://schemas.openxmlformats.org/officeDocument/2006/relationships/hyperlink" Target="consultantplus://offline/ref=4DA3E4C47E26AA60CE777B909FC82EC15686199123B3B9EC8A057D3B417CAADE2162D11829179042ZEiC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mailto:anvas@kargasok.tomsknet.ru" TargetMode="External"/><Relationship Id="rId8" Type="http://schemas.openxmlformats.org/officeDocument/2006/relationships/hyperlink" Target="consultantplus://offline/ref=4DA3E4C47E26AA60CE777B909FC82EC15686199123B3B9EC8A057D3B417CAADE2162D11829179042ZE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8879-2888-4A5F-8689-D6EA7C0A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17125</Words>
  <Characters>97617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2017-06-20T02:35:00Z</cp:lastPrinted>
  <dcterms:created xsi:type="dcterms:W3CDTF">2018-12-19T03:28:00Z</dcterms:created>
  <dcterms:modified xsi:type="dcterms:W3CDTF">2018-12-19T04:02:00Z</dcterms:modified>
</cp:coreProperties>
</file>